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920CC4" w:rsidRPr="006B58AA" w14:paraId="6CA3E73B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8167" w14:textId="77777777" w:rsidR="00920CC4" w:rsidRPr="006B58AA" w:rsidRDefault="00920CC4" w:rsidP="00920CC4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1B06" w14:textId="77777777" w:rsidR="00920CC4" w:rsidRPr="006F6DC4" w:rsidRDefault="00920CC4" w:rsidP="00920CC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69DB570C" w14:textId="77777777" w:rsidR="00920CC4" w:rsidRPr="006F6DC4" w:rsidRDefault="00920CC4" w:rsidP="00920CC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1EA74519" w14:textId="77777777" w:rsidR="00920CC4" w:rsidRPr="006F6DC4" w:rsidRDefault="00920CC4" w:rsidP="00920CC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12128C7A" w14:textId="77777777" w:rsidR="00920CC4" w:rsidRPr="006B58AA" w:rsidRDefault="00920CC4" w:rsidP="00920CC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920CC4" w:rsidRPr="006B58AA" w14:paraId="0A845C5C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A423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CD86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920CC4" w:rsidRPr="006B58AA" w14:paraId="1ED77AFD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DE43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6396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920CC4" w:rsidRPr="006B58AA" w14:paraId="5628C71C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FB60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65F2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920CC4" w:rsidRPr="006B58AA" w14:paraId="0B2B18C4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60F9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2E90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Wprowadzenie do psychologii i historii myśli psychologicznej</w:t>
            </w:r>
          </w:p>
        </w:tc>
      </w:tr>
      <w:tr w:rsidR="00920CC4" w:rsidRPr="006B58AA" w14:paraId="6D18C98A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D180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DB1D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PROCESÓW POZNAWCZYCH</w:t>
            </w:r>
          </w:p>
        </w:tc>
      </w:tr>
      <w:tr w:rsidR="00920CC4" w:rsidRPr="006B58AA" w14:paraId="185D0886" w14:textId="77777777" w:rsidTr="00583D07">
        <w:trPr>
          <w:trHeight w:val="531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A373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35768" w14:textId="77777777" w:rsidR="00920CC4" w:rsidRPr="006B58AA" w:rsidRDefault="00920CC4" w:rsidP="00920CC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dr Anna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Skiert</w:t>
            </w:r>
            <w:proofErr w:type="spellEnd"/>
          </w:p>
        </w:tc>
      </w:tr>
      <w:tr w:rsidR="00920CC4" w:rsidRPr="006B58AA" w14:paraId="4558652D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CB0E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B1C7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(2,4 + 3,6)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E307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 + 4)</w:t>
            </w:r>
          </w:p>
        </w:tc>
      </w:tr>
      <w:tr w:rsidR="00920CC4" w:rsidRPr="006B58AA" w14:paraId="6CCBEF1F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3CD2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67E03D72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33AE" w14:textId="77777777" w:rsidR="00920CC4" w:rsidRPr="006B58AA" w:rsidRDefault="00920CC4" w:rsidP="00920CC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09A557F5" w14:textId="77777777" w:rsidR="00920CC4" w:rsidRPr="006B58AA" w:rsidRDefault="00920CC4" w:rsidP="00920CC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F8E5" w14:textId="77777777" w:rsidR="00920CC4" w:rsidRPr="006B58AA" w:rsidRDefault="00920CC4" w:rsidP="00920CC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2715" w14:textId="77777777" w:rsidR="00920CC4" w:rsidRPr="006B58AA" w:rsidRDefault="00920CC4" w:rsidP="00920CC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37002BD1" w14:textId="77777777" w:rsidR="00920CC4" w:rsidRPr="006B58AA" w:rsidRDefault="00920CC4" w:rsidP="00920CC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CCF1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920CC4" w:rsidRPr="006B58AA" w14:paraId="387C90FE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7397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6775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A28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0486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7A46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920CC4" w:rsidRPr="006B58AA" w14:paraId="201D6DF1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37A4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6079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F040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AF7A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A833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920CC4" w:rsidRPr="006B58AA" w14:paraId="49BD4D5E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7FFC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A54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955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127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4588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920CC4" w:rsidRPr="006B58AA" w14:paraId="3434ECCA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FC9D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21B4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A3E0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85AA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BAED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920CC4" w:rsidRPr="006B58AA" w14:paraId="2EF442D9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E14A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BC0E8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zapoznanie studentów z podstawową wiedzą z zakresu psychologii poznawczej, jej pojęciem i teoriami, przekazanie studentom umiejętności twórczego myślenia i kreatywnego rozwiązywania problemów psychologicznych.</w:t>
            </w:r>
          </w:p>
        </w:tc>
      </w:tr>
      <w:tr w:rsidR="00920CC4" w:rsidRPr="006B58AA" w14:paraId="0186407A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4C01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31C604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20CC4" w:rsidRPr="006B58AA" w14:paraId="7197AA74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4491" w14:textId="77777777" w:rsidR="00920CC4" w:rsidRPr="006B58AA" w:rsidRDefault="00920CC4" w:rsidP="00920CC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posiada podstawową wiedzę dotyczącą pojęć i rozwiązań na gruncie psychologii poznawczej, wymienia i charakteryzuje procesy z nią związane, zna istotę psychologii poznawczej w całości poznawczego funkcjonowania człowieka jako jednostki. </w:t>
            </w:r>
          </w:p>
          <w:p w14:paraId="1FA723A7" w14:textId="77777777" w:rsidR="00920CC4" w:rsidRPr="006B58AA" w:rsidRDefault="00920CC4" w:rsidP="00920CC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potrafi odnieść się do konkretnego rozwiązania psychologicznego zaczerpniętego z literatury w celu wyjaśnienia konkretnego problemu badawczego, analizuje i porównuje teorie z literatury z własnymi poglądami.</w:t>
            </w:r>
          </w:p>
          <w:p w14:paraId="6A0F8CC1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zna wartość poprawnych procesów poznawczych, rozumie potrzebę ciągłego dokształcania się.</w:t>
            </w:r>
          </w:p>
        </w:tc>
      </w:tr>
      <w:tr w:rsidR="00920CC4" w:rsidRPr="006B58AA" w14:paraId="5E448911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20AB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93C20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20CC4" w:rsidRPr="006B58AA" w14:paraId="0CC9899C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2B52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920CC4" w:rsidRPr="006B58AA" w14:paraId="71F7E787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EE94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60BD737D" w14:textId="77777777" w:rsidR="00920CC4" w:rsidRPr="006B58AA" w:rsidRDefault="00920CC4" w:rsidP="00920CC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pisemne</w:t>
            </w:r>
          </w:p>
          <w:p w14:paraId="5F046670" w14:textId="77777777" w:rsidR="00920CC4" w:rsidRPr="006B58AA" w:rsidRDefault="00920CC4" w:rsidP="00920CC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6DAC355" w14:textId="77777777" w:rsidR="00920CC4" w:rsidRPr="006B58AA" w:rsidRDefault="00920CC4" w:rsidP="00920CC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pisemne</w:t>
            </w:r>
          </w:p>
          <w:p w14:paraId="51847C41" w14:textId="77777777" w:rsidR="00920CC4" w:rsidRPr="006B58AA" w:rsidRDefault="00920CC4" w:rsidP="00920CC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629FA46D" w14:textId="77777777" w:rsidR="00920CC4" w:rsidRPr="006B58AA" w:rsidRDefault="00920CC4" w:rsidP="00920CC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Kompetencje społeczne: ocena na podstawie aktywności na zajęciach</w:t>
            </w:r>
          </w:p>
          <w:p w14:paraId="2173C922" w14:textId="77777777" w:rsidR="00920CC4" w:rsidRPr="006B58AA" w:rsidRDefault="00920CC4" w:rsidP="00920CC4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20CC4" w:rsidRPr="006B58AA" w14:paraId="213BBD0D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1F80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75C46" w14:textId="77777777" w:rsidR="00920CC4" w:rsidRPr="006B58AA" w:rsidRDefault="00920CC4" w:rsidP="00920CC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20CC4" w:rsidRPr="006B58AA" w14:paraId="77AD6CA4" w14:textId="77777777" w:rsidTr="00583D07">
        <w:trPr>
          <w:trHeight w:val="417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6A7A" w14:textId="77777777" w:rsidR="00920CC4" w:rsidRPr="006B58AA" w:rsidRDefault="00920CC4" w:rsidP="00920CC4">
            <w:pPr>
              <w:numPr>
                <w:ilvl w:val="0"/>
                <w:numId w:val="24"/>
              </w:numPr>
              <w:spacing w:line="360" w:lineRule="auto"/>
              <w:ind w:right="6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spacing w:val="4"/>
                <w:sz w:val="20"/>
                <w:szCs w:val="20"/>
                <w:lang w:eastAsia="pl-PL"/>
              </w:rPr>
              <w:lastRenderedPageBreak/>
              <w:t>Istota psychologi</w:t>
            </w:r>
            <w:r w:rsidRPr="006B58AA">
              <w:rPr>
                <w:rFonts w:ascii="Calibri" w:eastAsia="Verdana" w:hAnsi="Calibri" w:cs="Calibri"/>
                <w:sz w:val="20"/>
                <w:szCs w:val="20"/>
                <w:lang w:eastAsia="pl-PL"/>
              </w:rPr>
              <w:t xml:space="preserve">i </w:t>
            </w:r>
            <w:r w:rsidRPr="006B58AA">
              <w:rPr>
                <w:rFonts w:ascii="Calibri" w:eastAsia="Verdana" w:hAnsi="Calibri" w:cs="Calibri"/>
                <w:spacing w:val="4"/>
                <w:sz w:val="20"/>
                <w:szCs w:val="20"/>
                <w:lang w:eastAsia="pl-PL"/>
              </w:rPr>
              <w:t>poznawczej</w:t>
            </w:r>
            <w:r w:rsidRPr="006B58AA">
              <w:rPr>
                <w:rFonts w:ascii="Calibri" w:eastAsia="Verdana" w:hAnsi="Calibri" w:cs="Calibri"/>
                <w:sz w:val="20"/>
                <w:szCs w:val="20"/>
                <w:lang w:eastAsia="pl-PL"/>
              </w:rPr>
              <w:t xml:space="preserve">, </w:t>
            </w:r>
            <w:r w:rsidRPr="006B58AA">
              <w:rPr>
                <w:rFonts w:ascii="Calibri" w:eastAsia="Verdana" w:hAnsi="Calibri" w:cs="Calibri"/>
                <w:spacing w:val="4"/>
                <w:sz w:val="20"/>
                <w:szCs w:val="20"/>
                <w:lang w:eastAsia="pl-PL"/>
              </w:rPr>
              <w:t>cechy, przedmiot</w:t>
            </w:r>
            <w:r w:rsidRPr="006B58AA">
              <w:rPr>
                <w:rFonts w:ascii="Calibri" w:eastAsia="Verdana" w:hAnsi="Calibri" w:cs="Calibri"/>
                <w:sz w:val="20"/>
                <w:szCs w:val="20"/>
                <w:lang w:eastAsia="pl-PL"/>
              </w:rPr>
              <w:t>,</w:t>
            </w:r>
            <w:r w:rsidRPr="006B58AA">
              <w:rPr>
                <w:rFonts w:ascii="Calibri" w:eastAsia="Verdana" w:hAnsi="Calibri" w:cs="Calibri"/>
                <w:spacing w:val="2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spacing w:val="4"/>
                <w:w w:val="99"/>
                <w:sz w:val="20"/>
                <w:szCs w:val="20"/>
                <w:lang w:eastAsia="pl-PL"/>
              </w:rPr>
              <w:t>założenia</w:t>
            </w:r>
            <w:r w:rsidRPr="006B58AA">
              <w:rPr>
                <w:rFonts w:ascii="Calibri" w:eastAsia="Verdana" w:hAnsi="Calibri" w:cs="Calibri"/>
                <w:w w:val="99"/>
                <w:sz w:val="20"/>
                <w:szCs w:val="20"/>
                <w:lang w:eastAsia="pl-PL"/>
              </w:rPr>
              <w:t xml:space="preserve">. </w:t>
            </w:r>
          </w:p>
          <w:p w14:paraId="55917A20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Reprezentacje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receptoryczne</w:t>
            </w:r>
            <w:proofErr w:type="spellEnd"/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, reprezentacje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mózgowe.</w:t>
            </w:r>
          </w:p>
          <w:p w14:paraId="4906F31E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color w:val="000000"/>
                <w:sz w:val="20"/>
                <w:szCs w:val="20"/>
                <w:lang w:eastAsia="pl-PL"/>
              </w:rPr>
              <w:t xml:space="preserve">Podstawowe założenia </w:t>
            </w:r>
            <w:r w:rsidRPr="006B58AA">
              <w:rPr>
                <w:rFonts w:ascii="Calibri" w:eastAsia="Verdana" w:hAnsi="Calibri" w:cs="Calibri"/>
                <w:color w:val="000000"/>
                <w:spacing w:val="10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color w:val="000000"/>
                <w:sz w:val="20"/>
                <w:szCs w:val="20"/>
                <w:lang w:eastAsia="pl-PL"/>
              </w:rPr>
              <w:t>teorii</w:t>
            </w:r>
            <w:r w:rsidRPr="006B58AA">
              <w:rPr>
                <w:rFonts w:ascii="Calibri" w:eastAsia="Verdana" w:hAnsi="Calibri" w:cs="Calibri"/>
                <w:color w:val="000000"/>
                <w:spacing w:val="6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color w:val="000000"/>
                <w:sz w:val="20"/>
                <w:szCs w:val="20"/>
                <w:lang w:eastAsia="pl-PL"/>
              </w:rPr>
              <w:t>schematów poznawczych.</w:t>
            </w:r>
            <w:r w:rsidRPr="006B58AA">
              <w:rPr>
                <w:rFonts w:ascii="Calibri" w:eastAsia="Verdana" w:hAnsi="Calibri" w:cs="Calibri"/>
                <w:color w:val="000000"/>
                <w:w w:val="99"/>
                <w:sz w:val="20"/>
                <w:szCs w:val="20"/>
                <w:lang w:eastAsia="pl-PL"/>
              </w:rPr>
              <w:t>.</w:t>
            </w:r>
          </w:p>
          <w:p w14:paraId="2AA9A968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Fazy i struktura spostrzeżenia.</w:t>
            </w:r>
          </w:p>
          <w:p w14:paraId="49D4B6A6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Współczesne teorie spostrzegania.</w:t>
            </w:r>
          </w:p>
          <w:p w14:paraId="006FDD2B" w14:textId="77777777" w:rsidR="00920CC4" w:rsidRPr="006B58AA" w:rsidRDefault="00920CC4" w:rsidP="00920CC4">
            <w:pPr>
              <w:numPr>
                <w:ilvl w:val="0"/>
                <w:numId w:val="24"/>
              </w:numPr>
              <w:spacing w:line="360" w:lineRule="auto"/>
              <w:ind w:right="796"/>
              <w:jc w:val="left"/>
              <w:rPr>
                <w:rFonts w:ascii="Calibri" w:eastAsia="Verdana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bCs/>
                <w:sz w:val="20"/>
                <w:szCs w:val="20"/>
                <w:lang w:eastAsia="pl-PL"/>
              </w:rPr>
              <w:t>Pole percepcyjne.</w:t>
            </w:r>
          </w:p>
          <w:p w14:paraId="5E846C72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Uwaga i jej rola w procesie przetwarzania informacji.</w:t>
            </w:r>
          </w:p>
          <w:p w14:paraId="1941499A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Uwaga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działanie.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14"/>
                <w:sz w:val="20"/>
                <w:szCs w:val="20"/>
                <w:lang w:eastAsia="pl-PL"/>
              </w:rPr>
              <w:t xml:space="preserve"> </w:t>
            </w:r>
          </w:p>
          <w:p w14:paraId="78B1655E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Proces nabywaniem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sprawno</w:t>
            </w:r>
            <w:r w:rsidRPr="006B58AA">
              <w:rPr>
                <w:rFonts w:ascii="Calibri" w:eastAsia="Verdana" w:hAnsi="Calibri" w:cs="Calibri"/>
                <w:bCs/>
                <w:color w:val="000000"/>
                <w:w w:val="99"/>
                <w:sz w:val="20"/>
                <w:szCs w:val="20"/>
                <w:lang w:eastAsia="pl-PL"/>
              </w:rPr>
              <w:t>ś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6B58AA">
              <w:rPr>
                <w:rFonts w:ascii="Calibri" w:eastAsia="Verdana" w:hAnsi="Calibri" w:cs="Calibri"/>
                <w:bCs/>
                <w:color w:val="000000"/>
                <w:w w:val="99"/>
                <w:sz w:val="20"/>
                <w:szCs w:val="20"/>
                <w:lang w:eastAsia="pl-PL"/>
              </w:rPr>
              <w:t>i</w:t>
            </w:r>
            <w:r w:rsidRPr="006B58AA">
              <w:rPr>
                <w:rFonts w:ascii="Calibri" w:eastAsia="Verdana" w:hAnsi="Calibri" w:cs="Calibri"/>
                <w:bCs/>
                <w:color w:val="000000"/>
                <w:spacing w:val="-4"/>
                <w:sz w:val="20"/>
                <w:szCs w:val="20"/>
                <w:lang w:eastAsia="pl-PL"/>
              </w:rPr>
              <w:t>.</w:t>
            </w:r>
          </w:p>
          <w:p w14:paraId="488AD1D7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Verdana" w:hAnsi="Calibri" w:cs="Calibri"/>
                <w:bCs/>
                <w:color w:val="000000"/>
                <w:spacing w:val="-4"/>
                <w:sz w:val="20"/>
                <w:szCs w:val="20"/>
                <w:lang w:eastAsia="pl-PL"/>
              </w:rPr>
              <w:t xml:space="preserve">Mechanizm 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>wykonywaniem równoczesnych cz</w:t>
            </w:r>
            <w:r w:rsidRPr="006B58AA">
              <w:rPr>
                <w:rFonts w:ascii="Calibri" w:eastAsia="Verdana" w:hAnsi="Calibri" w:cs="Calibri"/>
                <w:bCs/>
                <w:color w:val="000000"/>
                <w:w w:val="99"/>
                <w:sz w:val="20"/>
                <w:szCs w:val="20"/>
                <w:lang w:eastAsia="pl-PL"/>
              </w:rPr>
              <w:t>y</w:t>
            </w:r>
            <w:r w:rsidRPr="006B58AA">
              <w:rPr>
                <w:rFonts w:ascii="Calibri" w:eastAsia="Verdana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nności. </w:t>
            </w:r>
          </w:p>
          <w:p w14:paraId="10A10757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Teorie pamięci, mechanizmy zapamiętywania. </w:t>
            </w:r>
          </w:p>
          <w:p w14:paraId="0CA34D1B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Klasyfikacje pamięci.</w:t>
            </w:r>
          </w:p>
          <w:p w14:paraId="6FD1B6A2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Struktura, funkcje i rodzaje myślenia.</w:t>
            </w:r>
          </w:p>
          <w:p w14:paraId="5B585D09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Rozwiązywanie problemów.</w:t>
            </w:r>
          </w:p>
          <w:p w14:paraId="67F60998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Fazy i etapy podejmowania decyzji. </w:t>
            </w:r>
          </w:p>
          <w:p w14:paraId="64DAF890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Język i jego funkcja.</w:t>
            </w:r>
          </w:p>
          <w:p w14:paraId="3F7E9F2E" w14:textId="77777777" w:rsidR="00920CC4" w:rsidRPr="006B58AA" w:rsidRDefault="00920CC4" w:rsidP="00920CC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Komunikacja.</w:t>
            </w:r>
          </w:p>
        </w:tc>
      </w:tr>
      <w:tr w:rsidR="00920CC4" w:rsidRPr="006B58AA" w14:paraId="04D562A8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D3FA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29F62A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20CC4" w:rsidRPr="006B58AA" w14:paraId="624BAB4A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7FC1" w14:textId="77777777" w:rsidR="00920CC4" w:rsidRPr="006B58AA" w:rsidRDefault="00920CC4" w:rsidP="00920CC4">
            <w:pPr>
              <w:numPr>
                <w:ilvl w:val="0"/>
                <w:numId w:val="25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eastAsia="Verdana" w:hAnsi="Calibri" w:cs="Calibri"/>
                <w:sz w:val="20"/>
                <w:szCs w:val="20"/>
              </w:rPr>
              <w:t>Nęcka</w:t>
            </w:r>
            <w:proofErr w:type="spellEnd"/>
            <w:r w:rsidRPr="006B58AA">
              <w:rPr>
                <w:rFonts w:ascii="Calibri" w:eastAsia="Verdana" w:hAnsi="Calibri" w:cs="Calibri"/>
                <w:sz w:val="20"/>
                <w:szCs w:val="20"/>
              </w:rPr>
              <w:t>,</w:t>
            </w:r>
            <w:r w:rsidRPr="006B58AA">
              <w:rPr>
                <w:rFonts w:ascii="Calibri" w:eastAsia="Verdana" w:hAnsi="Calibri" w:cs="Calibri"/>
                <w:spacing w:val="39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E.,</w:t>
            </w:r>
            <w:r w:rsidRPr="006B58AA">
              <w:rPr>
                <w:rFonts w:ascii="Calibri" w:eastAsia="Verdana" w:hAnsi="Calibri" w:cs="Calibri"/>
                <w:spacing w:val="49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Orzechowski,</w:t>
            </w:r>
            <w:r w:rsidRPr="006B58AA">
              <w:rPr>
                <w:rFonts w:ascii="Calibri" w:eastAsia="Verdana" w:hAnsi="Calibri" w:cs="Calibri"/>
                <w:spacing w:val="43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J.,</w:t>
            </w:r>
            <w:r w:rsidRPr="006B58AA">
              <w:rPr>
                <w:rFonts w:ascii="Calibri" w:eastAsia="Verdana" w:hAnsi="Calibri" w:cs="Calibri"/>
                <w:spacing w:val="48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Szymura,</w:t>
            </w:r>
            <w:r w:rsidRPr="006B58AA">
              <w:rPr>
                <w:rFonts w:ascii="Calibri" w:eastAsia="Verdana" w:hAnsi="Calibri" w:cs="Calibri"/>
                <w:spacing w:val="43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B.</w:t>
            </w:r>
            <w:r w:rsidRPr="006B58AA">
              <w:rPr>
                <w:rFonts w:ascii="Calibri" w:eastAsia="Verdana" w:hAnsi="Calibri" w:cs="Calibri"/>
                <w:spacing w:val="48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i/>
                <w:sz w:val="20"/>
                <w:szCs w:val="20"/>
              </w:rPr>
              <w:t>Psychologia</w:t>
            </w:r>
            <w:r w:rsidRPr="006B58AA">
              <w:rPr>
                <w:rFonts w:ascii="Calibri" w:eastAsia="Verdana" w:hAnsi="Calibri" w:cs="Calibri"/>
                <w:i/>
                <w:spacing w:val="41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i/>
                <w:sz w:val="20"/>
                <w:szCs w:val="20"/>
              </w:rPr>
              <w:t>poznawcza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.</w:t>
            </w:r>
            <w:r w:rsidRPr="006B58AA">
              <w:rPr>
                <w:rFonts w:ascii="Calibri" w:eastAsia="Verdana" w:hAnsi="Calibri" w:cs="Calibri"/>
                <w:spacing w:val="44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 xml:space="preserve">Warszawa 2006, </w:t>
            </w:r>
            <w:r w:rsidRPr="006B58AA">
              <w:rPr>
                <w:rFonts w:ascii="Calibri" w:eastAsia="Verdana" w:hAnsi="Calibri" w:cs="Calibri"/>
                <w:spacing w:val="45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Wyd. Nauk.</w:t>
            </w:r>
            <w:r w:rsidRPr="006B58AA">
              <w:rPr>
                <w:rFonts w:ascii="Calibri" w:eastAsia="Verdana" w:hAnsi="Calibri" w:cs="Calibri"/>
                <w:spacing w:val="-5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PWN.</w:t>
            </w:r>
          </w:p>
          <w:p w14:paraId="0ACFD5D9" w14:textId="77777777" w:rsidR="00920CC4" w:rsidRPr="006B58AA" w:rsidRDefault="00920CC4" w:rsidP="00920CC4">
            <w:pPr>
              <w:numPr>
                <w:ilvl w:val="0"/>
                <w:numId w:val="25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Verdana" w:hAnsi="Calibri" w:cs="Calibri"/>
                <w:sz w:val="20"/>
                <w:szCs w:val="20"/>
              </w:rPr>
              <w:t>Maruszewski,</w:t>
            </w:r>
            <w:r w:rsidRPr="006B58AA">
              <w:rPr>
                <w:rFonts w:ascii="Calibri" w:eastAsia="Verdana" w:hAnsi="Calibri" w:cs="Calibri"/>
                <w:spacing w:val="-8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T.</w:t>
            </w:r>
            <w:r w:rsidRPr="006B58AA">
              <w:rPr>
                <w:rFonts w:ascii="Calibri" w:eastAsia="Verdana" w:hAnsi="Calibri" w:cs="Calibri"/>
                <w:spacing w:val="-1"/>
                <w:sz w:val="20"/>
                <w:szCs w:val="20"/>
              </w:rPr>
              <w:t xml:space="preserve">, </w:t>
            </w:r>
            <w:r w:rsidRPr="006B58AA">
              <w:rPr>
                <w:rFonts w:ascii="Calibri" w:eastAsia="Verdana" w:hAnsi="Calibri" w:cs="Calibri"/>
                <w:i/>
                <w:sz w:val="20"/>
                <w:szCs w:val="20"/>
              </w:rPr>
              <w:t>Psychologia</w:t>
            </w:r>
            <w:r w:rsidRPr="006B58AA">
              <w:rPr>
                <w:rFonts w:ascii="Calibri" w:eastAsia="Verdana" w:hAnsi="Calibri" w:cs="Calibri"/>
                <w:i/>
                <w:spacing w:val="-10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i/>
                <w:sz w:val="20"/>
                <w:szCs w:val="20"/>
              </w:rPr>
              <w:t>poznania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. G</w:t>
            </w:r>
            <w:r w:rsidRPr="006B58AA">
              <w:rPr>
                <w:rFonts w:ascii="Calibri" w:eastAsia="Verdana" w:hAnsi="Calibri" w:cs="Calibri"/>
                <w:w w:val="99"/>
                <w:sz w:val="20"/>
                <w:szCs w:val="20"/>
              </w:rPr>
              <w:t>dańsk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 xml:space="preserve"> 2001,  G</w:t>
            </w:r>
            <w:r w:rsidRPr="006B58AA">
              <w:rPr>
                <w:rFonts w:ascii="Calibri" w:eastAsia="Verdana" w:hAnsi="Calibri" w:cs="Calibri"/>
                <w:w w:val="99"/>
                <w:sz w:val="20"/>
                <w:szCs w:val="20"/>
              </w:rPr>
              <w:t>dańsk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i</w:t>
            </w:r>
            <w:r w:rsidRPr="006B58AA">
              <w:rPr>
                <w:rFonts w:ascii="Calibri" w:eastAsia="Verdana" w:hAnsi="Calibri" w:cs="Calibri"/>
                <w:w w:val="99"/>
                <w:sz w:val="20"/>
                <w:szCs w:val="20"/>
              </w:rPr>
              <w:t>e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 xml:space="preserve"> Wyd.</w:t>
            </w:r>
            <w:r w:rsidRPr="006B58AA">
              <w:rPr>
                <w:rFonts w:ascii="Calibri" w:eastAsia="Verdana" w:hAnsi="Calibri" w:cs="Calibri"/>
                <w:spacing w:val="-5"/>
                <w:sz w:val="20"/>
                <w:szCs w:val="20"/>
              </w:rPr>
              <w:t xml:space="preserve"> </w:t>
            </w:r>
            <w:r w:rsidRPr="006B58AA">
              <w:rPr>
                <w:rFonts w:ascii="Calibri" w:eastAsia="Verdana" w:hAnsi="Calibri" w:cs="Calibri"/>
                <w:sz w:val="20"/>
                <w:szCs w:val="20"/>
              </w:rPr>
              <w:t>Psychologiczne.</w:t>
            </w:r>
          </w:p>
        </w:tc>
      </w:tr>
      <w:tr w:rsidR="00920CC4" w:rsidRPr="006B58AA" w14:paraId="791522CE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1E56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384AA" w14:textId="77777777" w:rsidR="00920CC4" w:rsidRPr="006B58AA" w:rsidRDefault="00920CC4" w:rsidP="00920CC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20CC4" w:rsidRPr="006B58AA" w14:paraId="2F4735E7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29C1" w14:textId="77777777" w:rsidR="00920CC4" w:rsidRPr="006B58AA" w:rsidRDefault="00920CC4" w:rsidP="00920CC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Brannon L.,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Psychologia rodzaju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GWP. Gdańsk 2002</w:t>
            </w:r>
          </w:p>
          <w:p w14:paraId="047FA0C4" w14:textId="77777777" w:rsidR="00920CC4" w:rsidRPr="006B58AA" w:rsidRDefault="00920CC4" w:rsidP="00920CC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Eysenck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H.H.,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Podpatrywanie umysłu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GWP, Gdańsk 2003</w:t>
            </w:r>
          </w:p>
        </w:tc>
      </w:tr>
    </w:tbl>
    <w:p w14:paraId="0083ABBF" w14:textId="77777777" w:rsidR="00B75283" w:rsidRPr="00920CC4" w:rsidRDefault="00B75283" w:rsidP="00920CC4"/>
    <w:sectPr w:rsidR="00B75283" w:rsidRPr="00920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19"/>
  </w:num>
  <w:num w:numId="2" w16cid:durableId="586965731">
    <w:abstractNumId w:val="20"/>
  </w:num>
  <w:num w:numId="3" w16cid:durableId="1130124289">
    <w:abstractNumId w:val="11"/>
  </w:num>
  <w:num w:numId="4" w16cid:durableId="1521237086">
    <w:abstractNumId w:val="13"/>
  </w:num>
  <w:num w:numId="5" w16cid:durableId="16450418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23"/>
  </w:num>
  <w:num w:numId="7" w16cid:durableId="1742487772">
    <w:abstractNumId w:val="14"/>
  </w:num>
  <w:num w:numId="8" w16cid:durableId="1540556889">
    <w:abstractNumId w:val="1"/>
  </w:num>
  <w:num w:numId="9" w16cid:durableId="1240872930">
    <w:abstractNumId w:val="9"/>
  </w:num>
  <w:num w:numId="10" w16cid:durableId="570428305">
    <w:abstractNumId w:val="18"/>
  </w:num>
  <w:num w:numId="11" w16cid:durableId="818770759">
    <w:abstractNumId w:val="5"/>
  </w:num>
  <w:num w:numId="12" w16cid:durableId="756751717">
    <w:abstractNumId w:val="7"/>
  </w:num>
  <w:num w:numId="13" w16cid:durableId="1258637036">
    <w:abstractNumId w:val="17"/>
  </w:num>
  <w:num w:numId="14" w16cid:durableId="777213519">
    <w:abstractNumId w:val="16"/>
  </w:num>
  <w:num w:numId="15" w16cid:durableId="1241598724">
    <w:abstractNumId w:val="2"/>
  </w:num>
  <w:num w:numId="16" w16cid:durableId="90929551">
    <w:abstractNumId w:val="25"/>
  </w:num>
  <w:num w:numId="17" w16cid:durableId="1612929490">
    <w:abstractNumId w:val="8"/>
  </w:num>
  <w:num w:numId="18" w16cid:durableId="1967197119">
    <w:abstractNumId w:val="21"/>
  </w:num>
  <w:num w:numId="19" w16cid:durableId="546647997">
    <w:abstractNumId w:val="4"/>
  </w:num>
  <w:num w:numId="20" w16cid:durableId="36785734">
    <w:abstractNumId w:val="12"/>
  </w:num>
  <w:num w:numId="21" w16cid:durableId="317269955">
    <w:abstractNumId w:val="3"/>
  </w:num>
  <w:num w:numId="22" w16cid:durableId="753740069">
    <w:abstractNumId w:val="15"/>
  </w:num>
  <w:num w:numId="23" w16cid:durableId="1145587765">
    <w:abstractNumId w:val="24"/>
  </w:num>
  <w:num w:numId="24" w16cid:durableId="1585845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920CC4"/>
    <w:rsid w:val="00B30A39"/>
    <w:rsid w:val="00B75283"/>
    <w:rsid w:val="00D30864"/>
    <w:rsid w:val="00D50155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2024-11-12T10:00:00Z</dcterms:created>
  <dcterms:modified xsi:type="dcterms:W3CDTF">2024-11-12T10:00:00Z</dcterms:modified>
</cp:coreProperties>
</file>